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18 255 vom 14. Juni 2019</w:t>
      </w:r>
    </w:p>
    <w:p>
      <w:r>
        <w:t>VS Kantonsgericht, 2019-06-14, FR</w:t>
      </w:r>
    </w:p>
    <w:p>
      <w:r>
        <w:rPr>
          <w:b/>
        </w:rPr>
        <w:t xml:space="preserve">Quelle: </w:t>
      </w:r>
      <w:r>
        <w:t>https://mcp.opencaselaw.ch/entscheid/vs_gerichte_A1 18 255</w:t>
      </w:r>
    </w:p>
    <w:p>
      <w:r>
        <w:t>FR: VS_GERICHTE A1 18 255 du 14 juin 2019</w:t>
      </w:r>
    </w:p>
    <w:p>
      <w:r>
        <w:t>IT: VS_GERICHTE A1 18 255 del 14 giugno 2019</w:t>
      </w:r>
    </w:p>
    <w:p>
      <w:pPr>
        <w:pStyle w:val="Heading2"/>
      </w:pPr>
      <w:r>
        <w:t>Regeste</w:t>
      </w:r>
    </w:p>
    <w:p>
      <w:r>
        <w:t>A1 18 255 ARRÊT DU 14 JUIN 2019 Tribunal cantonal du Valais Cour de droit public Composition : Christophe Joris, président ; Jean-Bernard Fournier et Thomas Brunner, juges en la cause X _________, recourant, représenté par Maître M _________, contre CONSEIL D’ÉTAT DU CANTON DU VALAIS, 1950 Sion, autorité attaquée (retrait du permis de conduire) recours de droit administratif contre la décision du 31 octobre 2018</w:t>
      </w:r>
    </w:p>
    <w:p>
      <w:pPr>
        <w:pStyle w:val="Heading2"/>
      </w:pPr>
      <w:r>
        <w:t>Erwägungen</w:t>
      </w:r>
    </w:p>
    <w:p>
      <w:r>
        <w:rPr>
          <w:b/>
        </w:rPr>
        <w:t>E. 1</w:t>
      </w:r>
    </w:p>
    <w:p>
      <w:r>
        <w:t>Déposé en temps utile et dans les formes requises contre une décision du Conseil d’Etat par une personne directement atteinte, le recours de droit administratif du 31 octobre 20181 est recevable (art. 72, 80 al. 1 let. a et b, 44 al. 1 let. a de la loi du</w:t>
      </w:r>
    </w:p>
    <w:p>
      <w:r>
        <w:rPr>
          <w:b/>
        </w:rPr>
        <w:t>E. 6</w:t>
      </w:r>
    </w:p>
    <w:p>
      <w:r>
        <w:t>octobre 1976 sur la procédure et la juridiction administratives [LPJA; RS/VS 172.6]). 2. A titre de moyens de preuve, le recourant a requis l’édition par le Conseil d’Etat de l’intégralité de son dossier (y compris celui du SCN) ainsi que son interrogatoire. 2.1 La procédure administrative est en principe écrite et le recourant n’a pas le droit inconditionnel à faire valoir son point de vue par oral (Thierry Tanquerel, Manuel de droit administratif, 2e éd. 2018, n. 1537 et 1539 p. 522). Le droit d'être entendu garanti par l'art. 29 al. 2 Cst. comprend notamment le droit pour l'intéressé de s'exprimer sur les éléments pertinents avant qu'une décision soit prise tou- 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Le droit d'être entendu découlant de l'art. 29 al. 2 Cst. ne comprend toutefois pas le droit absolu d'être entendu oralement, ni celui d'obtenir l'audition de témoins (ATF 140 I 68 consid. 9.6.1).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2.2 En l’occurrence, les dossiers complets du SCN et du Conseil d’Etat ont été produits le 19 décembre 2018. La requête est donc sur ce point satisfaite. Par contre, l’interrogatoire du recourant est refusé. En effet, l’intéressé a pu s’exprimer à maintes reprises, que ce soit par oral (audition par la police cantonale le 3 novembre 2017) ou par écrit (cf. détermination du 4 décembre 2017, recours administratif du 12 février 2018, écriture du 29 mai 2018 et recours de droit administratif du 5 décembre 2018). L’on voit donc mal ce que son audition par la Cour de céans pourrait apporter de plus. Le recourant ne le dit d’ailleurs pas. De toute manière, il n’a pas saisi l’occasion de se déterminer dans le délai fixé par la Cour de céans le 3 janvier 2019, de sorte qu’il ne peut pas prétendre à une audition orale au lieu d’une détermination écrite à laquelle il a renoncé (arrêt du Tribunal fédéral 2C_1011/2016 du 23 mars 2017 consid. 3.2).</w:t>
      </w:r>
    </w:p>
    <w:p>
      <w:r>
        <w:t>- 7 - 3. Dans un premier grief, le recourant soutient que le SCN, respectivement le Conseil d’Etat, devaient considérer, tout comme l’autorité pénale, que sa faute était légère, ce qui devait les conduire à qualifier l’infraction de moyennement grave. 3.1 Le recourant se méprend sur le lien entre les procédures pénale et administrative. En effet, si les faits retenus au pénal lient en principe l'autorité et le juge administratifs, il en va différemment des questions de droit, en particulier de l'appréciation de la faute et de la mise en danger (arrêts 1C_504/2011 du 17 avril 2012 consid. 2.1 et 1C_353/2010 du 12 janvier 2011 consid. 2.1). On ne saurait dès lors exclure le prononcé d'une mesure administrative pour infraction grave selon l’article 16c al. 1 let. a LCR du seul fait de l’existence d'une condamnation pénale pour infraction simple selon l’article 90 al. 1 LCR (arrêt du Tribunal fédéral 1C_72/2016 du 11 mai 2016 consid. 2.1). 3.2.1 La LCR distingue les infractions légères, moyennement graves et graves (art. 16a à c LCR). Commet une infraction légère la personne qui, en violant les règles de la circulation, met légèrement en danger la sécurité d'autrui et à laquelle seule une faute bénigne peut être imputée (art. 16a al. 1 let. a LCR). Se rend coupable d’une infraction moyennement grave la personne qui, en violant les règles de la circulation, crée un danger pour la sécurité d'autrui ou en prend le risque (art. 16b al. 1 let. a LCR). Commet enfin une violation grave selon l'art. 16c al. 1 let. a LCR la personne qui, en violant gravement les règles de la circulation, met sérieusement en danger la sécurité d'autrui ou en prend le risque. Dans une telle hypothèse, le permis doit être retiré pour trois mois au minimum (art. 16c al. 2 let. a LCR). 3.2.2 En vertu de l'art. 33 LCR,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(arrêt du Tribunal fédéral 1C_144/2018 du 10 décembre 2018 consid. 2.2).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Normalement, le conducteur n'est toutefois pas obligé de réduire sa vitesse à l'approche d'un passage pour piétons lorsque personne ne se trouve à proximité, s'il peut admettre qu'aucun piéton ne va surgir à</w:t>
      </w:r>
    </w:p>
    <w:p>
      <w:r>
        <w:t>- 8 -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(arrêt du Tribunal fédéral 1C_504/2011 précité, consid. 2.4). 3.2.3 La qualification de l’infraction de légère, moyenne ou grave est déterminée par la mise en danger objective et par la faute (Cédric Mizel, Droit et pratique illustrée du retrait du permis de conduire, Berne 2015, p. 244 ss). L’application de l’infraction grave est donc subordonnée à la double gravité de la faute commise et de la mise en danger objective (Cédric Mizel, op. cit., p. 397 ; Bussy/Rusconi/Jeanneret/Kuhn/Mizel/Müller, Code suisse de la circulation routière commenté, 4e éd. 2015, remarque préliminaire de la n. 1, n. 1.1 et 1.2 ad art. 16c LCR). D’une manière générale, le Tribunal fédéral se montre très exigeant envers le conduc- teur heurtant un piéton traversant un passage de sécurité. Il a ainsi par exemple qualifié de faute grave le manque d’égard envers un piéton traversant, dans une localité, un passage de sécurité dûment signalé (arrêts du Tribunal fédéral 6B_377/2007 du 6 février 2008 et 6S.265/2005 du 1er décembre 2005 cités par Bussy/Rusconi/ Jeanneret/Kuhn/Mizel/Müller, op. cit., n. 1.2.2 ad art. 16c LCR), le fait de ne pas res- pecter le droit de priorité d’un piéton, de ne pas parvenir à s’arrêter à temps et de le heurter (arrêt du Tribunal fédéral 6A.78/2006 du 28 décembre 2006 cité par Philippe Weissenberger, Kommentar Strassenverkehrsgesetz und Ordnungsbussengesetz, 2e éd. 2015, n. 12 ad art. 16c SVG), le fait de rouler à l’allure modérée de 10 km/h mais de heurter sur un passage sécurisé une jeune enfant qui venait de descendre d’un bus (arrêt du Tribunal fédéral 1C_425/2012 du 17 décembre 2012), le fait, pour un motard, alors que les conditions de circulation étaient favorables, de violer la priorité d’un piéton déjà engagé sur un passage dans une agglomération (arrêt du Tribunal fédéral 1C_87/2009 du 11 août 2009), le fait de heurter une personne âgée traversant une voie piétonne (arrêt du Tribunal fédéral 1C_402/2009 du 17 février 2010) ou encore le simple fait d’obliger un piéton déjà engagé sur un passage à faire un mouvement de recul pour éviter d’être renversé (arrêt du Tribunal fédéral 6B_273/2008 du 17 juin 2008). 3.3 En l’occurrence, selon les faits définitivement établis au pénal, le recourant, au volant de son véhicule de tourisme - qui est un minibus -, descendait, vers 14h30, la rue de la Gare à D _________. Une fois parvenu à l’intersection avec la rue xxx, il a ralenti à une vitesse approximative de 15 km/h et a enclenché son indicateur de direction gauche afin de bifurquer pour emprunter cette rue. Il n’a cependant pas vu F _________ qui traversait</w:t>
      </w:r>
    </w:p>
    <w:p>
      <w:r>
        <w:t>- 9 - le passage pour piétons avec la poussette contenant son fils. Un léger choc s’est produit entre l’avant droit du véhicule et la partie avant de la poussette. Surprise par ce choc, F _________ a brusquement tiré sur la poussette, ce qui a eu pour effet de faire chuter son fils. Selon le rapport de police, il faisait beau, la route était sèche, la visibilité du recourant était étendue et le point de choc est situé au milieu du passage pour piétons. De plus, aucune trace de freinage n’a été relevée et le recourant a une bonne connaissance des lieux (p. 2 du formulaire « audition en qualité de prévenu »). Si l’on consulte la configuration de ces lieux sur le site xxx, qui peut être considéré comme un fait notoire (dans ce sens, voir arrêt du Tribunal fédéral 5A_561/2011 du 19 mars 2012 consid. 5.3), il apparaît que le passage pour piétons sur lequel se trouvait F _________ et son fils est régulièrement signalé, qu’aucun obstacle ne bouche la vue d’un conducteur descendant la rue xxx qui oblique à gauche sur la rue xxx et que le conducteur opérant, comme le recourant, cette manœuvre dispose d’une distance de plusieurs mètres à partir du moment où il quitte la rue xxx pour s’approcher du passage pour piétons, donc de largement de temps pour vouer une attention particulière à ce qui se passe devant lui. Or, le recourant, de son propre aveu, s’est montré complètement inattentif et a donc fait montre d’une indifférence inadmissible vis-à-vis d’un risque on ne peut plus clair puisqu’il circulait en pleine agglomération. S’ajoute à cela qu’il connaît parfaitement les lieux, qu’aucun obstacle ne bouchait sa vue au moment d’obliquer, qu’il savait devoir compter avec le passage de piétons, qu’une mère et sa poussette sont parfaitement visibles et qu’il ne s’est pas arrêté à temps. Il a donc incontestablement mis gravement en danger la sécurité des piétons concernés. Au reste, comme l’a pertinemment relevé le Conseil d’Etat, le fait que l’enfant ait chuté à raison d’un geste de sa maman et n’ait subi qu’une blessure superficielle est irrelevant car un accident n’est nullement nécessaire pour réaliser une mise en danger concrète (Cédric Mizel, op. cit., p. 296). Ce qui compte en effet, c’est le fait de créer envers un tiers une probailité sérieuse de la réalisation effective et imminente du risque d’atteinte à son intégrité physique ou à sa vie. Tel est bien le cas en l’occurrence où la mise en danger est grave puisqu’il est évident qu’un véhicule très lourd circulant à 15 km/h est susceptible de causer à une femme poussant le landau contenant son fils traversant un passage et se trouvant au milieu de ce dernier au moment de l’impact des lésions corporelles très importantes. Tant la mise en danger objective que la faute commise doivent ici être considérées comme graves, de sorte que l’infraction commise est également grave au sens de l’article 16c al. 1 let. a LCR. Partant, mal fondé, le grief est rejeté.</w:t>
      </w:r>
    </w:p>
    <w:p>
      <w:r>
        <w:t>- 10 - 4. Dans un second grief, le recourant invoque une violation de l’article 8 al. 2 Cst. et de l’article 2 de la loi sur l’égalité pour les handicapés du 13 décembre 2002 (LHand ; RS 151.3). Le Tribunal fédéral a déjà eu l’occasion (voir par exemple les arrêts 1C_593/2013 du 25 juin 2013 consid. 2 et 1C_83/2008 du 16 octobre 2008 consid. 2.1), ce encore très récemment (arrêt 1C_184/2018 du 26 juillet 2018), de se pencher sur la question de la compatibilité d’un retrait de permis de conduire d’une personne handicapée avec le principe de l’interdiction de la discrimination posée à l’article 8 al. 2 Cst. En faisant réfé- rence aux débats parlementaires et en s’appuyant sur la doctrine largement majoritaire, il a conclu à l’affirmative (arrêt du Tribunal fédéral 1C_184/2018 précité consid. 3.1) et a répété que la durée légale minimale d’un retrait de permis - de trois mois dans notre cas (l’article 16c al. 2 let. a LCR en relation avec l’article 16c al. 3 in fine LCR.) - est, pour les personnes handicapées également, incompressible (arrêt 1C_184/2018 précité consid. 3.1 et 3.3). Il n’y a pas lieu de remettre ici en question cette jurisprudence récente et claire, dans laquelle le Tribunal fédéral a notamment écarté l’avis contraire isolé des auteurs (Markus Schefer et Caroline Hess-Klein) cités par le recourant. L’on peut simplement ajouter que contrairement à ce que ce dernier prétend, les CFF offrent, pour tout train direct reliant A _________ (son lieu de domicile) à I_________ ainsi que pour certains trains régionaux (B _________ dispose d’une gare), une offre gratuite permettant de commander une assistance à l’accès aux trains (cf. site internet Call Center Handicap CFF), ce également en hiver. Mal fondé, le grief est rejeté. 5. Attendu ce qui précède, le recours est rejeté (art. 80 al. 1 let. e et 60 al. 1 LPJA).</w:t>
      </w:r>
    </w:p>
    <w:p>
      <w:r>
        <w:rPr>
          <w:b/>
        </w:rPr>
        <w:t>E. 6.1</w:t>
      </w:r>
    </w:p>
    <w:p>
      <w:r>
        <w:t>Vu l’issue du litige, les frais de la cause sont mis à la charge du recourant (89 al. 1 LPJA).</w:t>
      </w:r>
    </w:p>
    <w:p>
      <w:r>
        <w:rPr>
          <w:b/>
        </w:rPr>
        <w:t>E. 6.2</w:t>
      </w:r>
    </w:p>
    <w:p>
      <w:r>
        <w:t>Les frais de la cause, fixés principalement sur le vu des principes de la couverture des frais et de l’équivalence des prestations, à 1500 fr., sont mis à la charge de X _________ (art. 89 al. 1 LPJA ; art. 3 al. 3, 11, 13 al. 1 et 25 de la loi du 11 février 2009 fixant le tarif des frais et dépens devant les autorités judiciaires ou administratives – LTar ; RS/VS 173.8). Il n’a pour le reste pas droit à des dépens (art. 91 al. 1 a contrario LPJA).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